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64" w:rsidRPr="00925E64" w:rsidRDefault="00925E64" w:rsidP="00925E64">
      <w:pPr>
        <w:spacing w:before="100" w:beforeAutospacing="1" w:after="100" w:afterAutospacing="1" w:line="240" w:lineRule="auto"/>
        <w:outlineLvl w:val="0"/>
        <w:rPr>
          <w:rFonts w:ascii="Arial" w:eastAsia="Times New Roman" w:hAnsi="Arial" w:cs="Arial"/>
          <w:b/>
          <w:bCs/>
          <w:color w:val="E62034"/>
          <w:kern w:val="36"/>
          <w:sz w:val="48"/>
          <w:szCs w:val="48"/>
          <w:lang w:eastAsia="en-CA"/>
        </w:rPr>
      </w:pPr>
      <w:r w:rsidRPr="00925E64">
        <w:rPr>
          <w:rFonts w:ascii="Arial" w:eastAsia="Times New Roman" w:hAnsi="Arial" w:cs="Arial"/>
          <w:b/>
          <w:bCs/>
          <w:color w:val="E62034"/>
          <w:kern w:val="36"/>
          <w:sz w:val="48"/>
          <w:szCs w:val="48"/>
          <w:lang w:eastAsia="en-CA"/>
        </w:rPr>
        <w:t>Life17: Take a peek at your updated 2017 product shelf</w:t>
      </w:r>
    </w:p>
    <w:p w:rsidR="00925E64" w:rsidRPr="00925E64" w:rsidRDefault="00925E64" w:rsidP="00925E64">
      <w:pPr>
        <w:spacing w:before="100" w:beforeAutospacing="1" w:after="100" w:afterAutospacing="1" w:line="240" w:lineRule="auto"/>
        <w:outlineLvl w:val="1"/>
        <w:rPr>
          <w:rFonts w:ascii="Arial" w:eastAsia="Times New Roman" w:hAnsi="Arial" w:cs="Arial"/>
          <w:b/>
          <w:bCs/>
          <w:color w:val="787E80"/>
          <w:sz w:val="36"/>
          <w:szCs w:val="36"/>
          <w:lang w:eastAsia="en-CA"/>
        </w:rPr>
      </w:pPr>
      <w:r w:rsidRPr="00925E64">
        <w:rPr>
          <w:rFonts w:ascii="Arial" w:eastAsia="Times New Roman" w:hAnsi="Arial" w:cs="Arial"/>
          <w:b/>
          <w:bCs/>
          <w:color w:val="787E80"/>
          <w:sz w:val="36"/>
          <w:szCs w:val="36"/>
          <w:lang w:eastAsia="en-CA"/>
        </w:rPr>
        <w:t>Helping you make a smooth transition</w:t>
      </w:r>
    </w:p>
    <w:p w:rsidR="00925E64" w:rsidRPr="00925E64" w:rsidRDefault="00925E64" w:rsidP="00925E64">
      <w:pPr>
        <w:spacing w:before="100" w:beforeAutospacing="1" w:after="100" w:afterAutospacing="1" w:line="240" w:lineRule="auto"/>
        <w:outlineLvl w:val="2"/>
        <w:rPr>
          <w:rFonts w:ascii="Arial" w:eastAsia="Times New Roman" w:hAnsi="Arial" w:cs="Arial"/>
          <w:b/>
          <w:bCs/>
          <w:color w:val="000000"/>
          <w:sz w:val="27"/>
          <w:szCs w:val="27"/>
          <w:lang w:eastAsia="en-CA"/>
        </w:rPr>
      </w:pPr>
      <w:r w:rsidRPr="00925E64">
        <w:rPr>
          <w:rFonts w:ascii="Arial" w:eastAsia="Times New Roman" w:hAnsi="Arial" w:cs="Arial"/>
          <w:b/>
          <w:bCs/>
          <w:color w:val="000000"/>
          <w:sz w:val="27"/>
          <w:szCs w:val="27"/>
          <w:lang w:eastAsia="en-CA"/>
        </w:rPr>
        <w:t>Take a peek at your updated 2017 product shelf</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Starting Jan. 1, 2017, new rules will govern the taxation of life insurance policies. Our steady approach over the years means you’ve already got a solid product shelf with proven winners.</w:t>
      </w:r>
    </w:p>
    <w:p w:rsidR="00925E64" w:rsidRPr="00925E64" w:rsidRDefault="00925E64" w:rsidP="00925E64">
      <w:pPr>
        <w:spacing w:before="100" w:beforeAutospacing="1" w:after="100" w:afterAutospacing="1" w:line="250" w:lineRule="atLeast"/>
        <w:outlineLvl w:val="3"/>
        <w:rPr>
          <w:rFonts w:ascii="Arial" w:eastAsia="Times New Roman" w:hAnsi="Arial" w:cs="Arial"/>
          <w:b/>
          <w:bCs/>
          <w:color w:val="000000"/>
          <w:sz w:val="27"/>
          <w:szCs w:val="27"/>
          <w:lang w:eastAsia="en-CA"/>
        </w:rPr>
      </w:pPr>
      <w:r w:rsidRPr="00925E64">
        <w:rPr>
          <w:rFonts w:ascii="Arial" w:eastAsia="Times New Roman" w:hAnsi="Arial" w:cs="Arial"/>
          <w:b/>
          <w:bCs/>
          <w:color w:val="000000"/>
          <w:sz w:val="27"/>
          <w:szCs w:val="27"/>
          <w:lang w:eastAsia="en-CA"/>
        </w:rPr>
        <w:t>Competitive, compliant and ready to sell</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We’re working to update your life insurance products so they’re ready to sell on Jan. 1, 2017. Universal life insurance is being slimmed down and simplified. Meanwhile, participating life insurance is structured the same, with early- and later-value options.</w:t>
      </w:r>
    </w:p>
    <w:p w:rsidR="00925E64" w:rsidRPr="00925E64" w:rsidRDefault="00925E64" w:rsidP="00925E64">
      <w:pPr>
        <w:spacing w:before="100" w:beforeAutospacing="1" w:after="100" w:afterAutospacing="1" w:line="250" w:lineRule="atLeast"/>
        <w:outlineLvl w:val="3"/>
        <w:rPr>
          <w:rFonts w:ascii="Arial" w:eastAsia="Times New Roman" w:hAnsi="Arial" w:cs="Arial"/>
          <w:b/>
          <w:bCs/>
          <w:color w:val="000000"/>
          <w:sz w:val="27"/>
          <w:szCs w:val="27"/>
          <w:lang w:eastAsia="en-CA"/>
        </w:rPr>
      </w:pPr>
      <w:r w:rsidRPr="00925E64">
        <w:rPr>
          <w:rFonts w:ascii="Arial" w:eastAsia="Times New Roman" w:hAnsi="Arial" w:cs="Arial"/>
          <w:b/>
          <w:bCs/>
          <w:color w:val="000000"/>
          <w:sz w:val="27"/>
          <w:szCs w:val="27"/>
          <w:lang w:eastAsia="en-CA"/>
        </w:rPr>
        <w:t>Sales, simplified</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We’ve simplified universal life insurance and your sales tools. You will have one illustration system for all life insurance products, plus streamlined products that are easier to explain and compare. We’re using systems and processes you already know.</w:t>
      </w:r>
    </w:p>
    <w:p w:rsidR="00925E64" w:rsidRPr="00925E64" w:rsidRDefault="00925E64" w:rsidP="00925E64">
      <w:pPr>
        <w:spacing w:before="100" w:beforeAutospacing="1" w:after="100" w:afterAutospacing="1" w:line="240" w:lineRule="auto"/>
        <w:outlineLvl w:val="2"/>
        <w:rPr>
          <w:rFonts w:ascii="Arial" w:eastAsia="Times New Roman" w:hAnsi="Arial" w:cs="Arial"/>
          <w:b/>
          <w:bCs/>
          <w:color w:val="000000"/>
          <w:sz w:val="27"/>
          <w:szCs w:val="27"/>
          <w:lang w:eastAsia="en-CA"/>
        </w:rPr>
      </w:pPr>
      <w:hyperlink r:id="rId5" w:history="1">
        <w:r w:rsidRPr="00925E64">
          <w:rPr>
            <w:rFonts w:ascii="Arial" w:eastAsia="Times New Roman" w:hAnsi="Arial" w:cs="Arial"/>
            <w:b/>
            <w:bCs/>
            <w:color w:val="0000FF"/>
            <w:sz w:val="27"/>
            <w:szCs w:val="27"/>
            <w:u w:val="single"/>
            <w:lang w:eastAsia="en-CA"/>
          </w:rPr>
          <w:t>Visit the Life17 hub</w:t>
        </w:r>
      </w:hyperlink>
      <w:r w:rsidRPr="00925E64">
        <w:rPr>
          <w:rFonts w:ascii="Arial" w:eastAsia="Times New Roman" w:hAnsi="Arial" w:cs="Arial"/>
          <w:b/>
          <w:bCs/>
          <w:color w:val="000000"/>
          <w:sz w:val="27"/>
          <w:szCs w:val="27"/>
          <w:lang w:eastAsia="en-CA"/>
        </w:rPr>
        <w:t> today for these new resources and product updates:</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New business application priority</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Priority timelines for processing new life insurance applications in 2016.</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UPDATED policy change guide</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xml:space="preserve">— </w:t>
      </w:r>
      <w:proofErr w:type="gramStart"/>
      <w:r w:rsidRPr="00925E64">
        <w:rPr>
          <w:rFonts w:ascii="Arial" w:eastAsia="Times New Roman" w:hAnsi="Arial" w:cs="Arial"/>
          <w:color w:val="000000"/>
          <w:sz w:val="27"/>
          <w:szCs w:val="27"/>
          <w:lang w:eastAsia="en-CA"/>
        </w:rPr>
        <w:t>Detailed</w:t>
      </w:r>
      <w:proofErr w:type="gramEnd"/>
      <w:r w:rsidRPr="00925E64">
        <w:rPr>
          <w:rFonts w:ascii="Arial" w:eastAsia="Times New Roman" w:hAnsi="Arial" w:cs="Arial"/>
          <w:color w:val="000000"/>
          <w:sz w:val="27"/>
          <w:szCs w:val="27"/>
          <w:lang w:eastAsia="en-CA"/>
        </w:rPr>
        <w:t xml:space="preserve"> matrix of life insurance policy changes in 2016 and 2017. Look up policy changes by product and get details by type of policy change.</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Universal life insurance rates in 2017</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Example using real rates that compares current product values to new 2017 values.</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i/>
          <w:iCs/>
          <w:color w:val="000000"/>
          <w:sz w:val="27"/>
          <w:lang w:eastAsia="en-CA"/>
        </w:rPr>
        <w:t>Sales strategies and exempt test tax changes</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xml:space="preserve">— </w:t>
      </w:r>
      <w:proofErr w:type="gramStart"/>
      <w:r w:rsidRPr="00925E64">
        <w:rPr>
          <w:rFonts w:ascii="Arial" w:eastAsia="Times New Roman" w:hAnsi="Arial" w:cs="Arial"/>
          <w:color w:val="000000"/>
          <w:sz w:val="27"/>
          <w:szCs w:val="27"/>
          <w:lang w:eastAsia="en-CA"/>
        </w:rPr>
        <w:t>This</w:t>
      </w:r>
      <w:proofErr w:type="gramEnd"/>
      <w:r w:rsidRPr="00925E64">
        <w:rPr>
          <w:rFonts w:ascii="Arial" w:eastAsia="Times New Roman" w:hAnsi="Arial" w:cs="Arial"/>
          <w:color w:val="000000"/>
          <w:sz w:val="27"/>
          <w:szCs w:val="27"/>
          <w:lang w:eastAsia="en-CA"/>
        </w:rPr>
        <w:t xml:space="preserve"> article identifies 2017 tax changes and corresponding opportunities to help clients achieve their priorities for estate, income and liquidity.</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Tax and planning article: </w:t>
      </w:r>
      <w:r w:rsidRPr="00925E64">
        <w:rPr>
          <w:rFonts w:ascii="Arial" w:eastAsia="Times New Roman" w:hAnsi="Arial" w:cs="Arial"/>
          <w:b/>
          <w:bCs/>
          <w:i/>
          <w:iCs/>
          <w:color w:val="000000"/>
          <w:sz w:val="27"/>
          <w:lang w:eastAsia="en-CA"/>
        </w:rPr>
        <w:t>Corporate estate transfer after 2016</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xml:space="preserve">— </w:t>
      </w:r>
      <w:proofErr w:type="gramStart"/>
      <w:r w:rsidRPr="00925E64">
        <w:rPr>
          <w:rFonts w:ascii="Arial" w:eastAsia="Times New Roman" w:hAnsi="Arial" w:cs="Arial"/>
          <w:color w:val="000000"/>
          <w:sz w:val="27"/>
          <w:szCs w:val="27"/>
          <w:lang w:eastAsia="en-CA"/>
        </w:rPr>
        <w:t>The</w:t>
      </w:r>
      <w:proofErr w:type="gramEnd"/>
      <w:r w:rsidRPr="00925E64">
        <w:rPr>
          <w:rFonts w:ascii="Arial" w:eastAsia="Times New Roman" w:hAnsi="Arial" w:cs="Arial"/>
          <w:color w:val="000000"/>
          <w:sz w:val="27"/>
          <w:szCs w:val="27"/>
          <w:lang w:eastAsia="en-CA"/>
        </w:rPr>
        <w:t xml:space="preserve"> new rules affect a policy’s ACB, possibly resulting in a lower CDA </w:t>
      </w:r>
      <w:r w:rsidRPr="00925E64">
        <w:rPr>
          <w:rFonts w:ascii="Arial" w:eastAsia="Times New Roman" w:hAnsi="Arial" w:cs="Arial"/>
          <w:color w:val="000000"/>
          <w:sz w:val="27"/>
          <w:szCs w:val="27"/>
          <w:lang w:eastAsia="en-CA"/>
        </w:rPr>
        <w:lastRenderedPageBreak/>
        <w:t>credit. This article features hypothetical examples that compare the current rules with what you can expect in 2017</w:t>
      </w:r>
    </w:p>
    <w:p w:rsidR="00925E64" w:rsidRPr="00925E64" w:rsidRDefault="00925E64" w:rsidP="00925E64">
      <w:pPr>
        <w:numPr>
          <w:ilvl w:val="0"/>
          <w:numId w:val="1"/>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Tax and planning article: </w:t>
      </w:r>
      <w:r w:rsidRPr="00925E64">
        <w:rPr>
          <w:rFonts w:ascii="Arial" w:eastAsia="Times New Roman" w:hAnsi="Arial" w:cs="Arial"/>
          <w:b/>
          <w:bCs/>
          <w:i/>
          <w:iCs/>
          <w:color w:val="000000"/>
          <w:sz w:val="27"/>
          <w:lang w:eastAsia="en-CA"/>
        </w:rPr>
        <w:t>Impact of changes to NCPI and ACB in 2017</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 xml:space="preserve">— </w:t>
      </w:r>
      <w:proofErr w:type="gramStart"/>
      <w:r w:rsidRPr="00925E64">
        <w:rPr>
          <w:rFonts w:ascii="Arial" w:eastAsia="Times New Roman" w:hAnsi="Arial" w:cs="Arial"/>
          <w:color w:val="000000"/>
          <w:sz w:val="27"/>
          <w:szCs w:val="27"/>
          <w:lang w:eastAsia="en-CA"/>
        </w:rPr>
        <w:t>New</w:t>
      </w:r>
      <w:proofErr w:type="gramEnd"/>
      <w:r w:rsidRPr="00925E64">
        <w:rPr>
          <w:rFonts w:ascii="Arial" w:eastAsia="Times New Roman" w:hAnsi="Arial" w:cs="Arial"/>
          <w:color w:val="000000"/>
          <w:sz w:val="27"/>
          <w:szCs w:val="27"/>
          <w:lang w:eastAsia="en-CA"/>
        </w:rPr>
        <w:t xml:space="preserve"> tax rules also affect credit to CDA. This article compares impact before and after 2017.</w:t>
      </w:r>
    </w:p>
    <w:p w:rsidR="00925E64" w:rsidRPr="00925E64" w:rsidRDefault="00925E64" w:rsidP="00925E64">
      <w:pPr>
        <w:spacing w:before="100" w:beforeAutospacing="1" w:after="100" w:afterAutospacing="1" w:line="240" w:lineRule="auto"/>
        <w:outlineLvl w:val="2"/>
        <w:rPr>
          <w:rFonts w:ascii="Arial" w:eastAsia="Times New Roman" w:hAnsi="Arial" w:cs="Arial"/>
          <w:b/>
          <w:bCs/>
          <w:color w:val="000000"/>
          <w:sz w:val="27"/>
          <w:szCs w:val="27"/>
          <w:lang w:eastAsia="en-CA"/>
        </w:rPr>
      </w:pPr>
      <w:r w:rsidRPr="00925E64">
        <w:rPr>
          <w:rFonts w:ascii="Arial" w:eastAsia="Times New Roman" w:hAnsi="Arial" w:cs="Arial"/>
          <w:b/>
          <w:bCs/>
          <w:color w:val="000000"/>
          <w:sz w:val="27"/>
          <w:szCs w:val="27"/>
          <w:lang w:eastAsia="en-CA"/>
        </w:rPr>
        <w:t>Act now before income tax rules change</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 xml:space="preserve">The average </w:t>
      </w:r>
      <w:proofErr w:type="spellStart"/>
      <w:r w:rsidRPr="00925E64">
        <w:rPr>
          <w:rFonts w:ascii="Arial" w:eastAsia="Times New Roman" w:hAnsi="Arial" w:cs="Arial"/>
          <w:color w:val="000000"/>
          <w:sz w:val="27"/>
          <w:szCs w:val="27"/>
          <w:lang w:eastAsia="en-CA"/>
        </w:rPr>
        <w:t>policyowner</w:t>
      </w:r>
      <w:proofErr w:type="spellEnd"/>
      <w:r w:rsidRPr="00925E64">
        <w:rPr>
          <w:rFonts w:ascii="Arial" w:eastAsia="Times New Roman" w:hAnsi="Arial" w:cs="Arial"/>
          <w:color w:val="000000"/>
          <w:sz w:val="27"/>
          <w:szCs w:val="27"/>
          <w:lang w:eastAsia="en-CA"/>
        </w:rPr>
        <w:t xml:space="preserve"> may experience little impact from the new rules. Other </w:t>
      </w:r>
      <w:proofErr w:type="spellStart"/>
      <w:r w:rsidRPr="00925E64">
        <w:rPr>
          <w:rFonts w:ascii="Arial" w:eastAsia="Times New Roman" w:hAnsi="Arial" w:cs="Arial"/>
          <w:color w:val="000000"/>
          <w:sz w:val="27"/>
          <w:szCs w:val="27"/>
          <w:lang w:eastAsia="en-CA"/>
        </w:rPr>
        <w:t>policyowners</w:t>
      </w:r>
      <w:proofErr w:type="spellEnd"/>
      <w:r w:rsidRPr="00925E64">
        <w:rPr>
          <w:rFonts w:ascii="Arial" w:eastAsia="Times New Roman" w:hAnsi="Arial" w:cs="Arial"/>
          <w:color w:val="000000"/>
          <w:sz w:val="27"/>
          <w:szCs w:val="27"/>
          <w:lang w:eastAsia="en-CA"/>
        </w:rPr>
        <w:t xml:space="preserve"> can benefit from acting now before the rules change. You can use these resources to help clients make the right decisions before the end of 2016.</w:t>
      </w:r>
    </w:p>
    <w:p w:rsidR="00925E64" w:rsidRPr="00925E64" w:rsidRDefault="00925E64" w:rsidP="00925E64">
      <w:pPr>
        <w:numPr>
          <w:ilvl w:val="0"/>
          <w:numId w:val="2"/>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i/>
          <w:iCs/>
          <w:color w:val="000000"/>
          <w:sz w:val="27"/>
          <w:lang w:eastAsia="en-CA"/>
        </w:rPr>
        <w:t>A practical view of the exempt test changes</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is a high-level overview of the new rules and how they impact life insurance policies.</w:t>
      </w:r>
    </w:p>
    <w:p w:rsidR="00925E64" w:rsidRPr="00925E64" w:rsidRDefault="00925E64" w:rsidP="00925E64">
      <w:pPr>
        <w:numPr>
          <w:ilvl w:val="0"/>
          <w:numId w:val="2"/>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i/>
          <w:iCs/>
          <w:color w:val="000000"/>
          <w:sz w:val="27"/>
          <w:lang w:eastAsia="en-CA"/>
        </w:rPr>
        <w:t>Life insurance opportunities in 2016: Decisions to make in 2016 before tax changes in 2017</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highlights time-sensitive policy change opportunities to act on now.</w:t>
      </w:r>
    </w:p>
    <w:p w:rsidR="00925E64" w:rsidRPr="00925E64" w:rsidRDefault="00925E64" w:rsidP="00925E64">
      <w:pPr>
        <w:numPr>
          <w:ilvl w:val="0"/>
          <w:numId w:val="2"/>
        </w:num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This extensive</w:t>
      </w:r>
      <w:r w:rsidRPr="00925E64">
        <w:rPr>
          <w:rFonts w:ascii="Arial" w:eastAsia="Times New Roman" w:hAnsi="Arial" w:cs="Arial"/>
          <w:color w:val="000000"/>
          <w:sz w:val="27"/>
          <w:lang w:eastAsia="en-CA"/>
        </w:rPr>
        <w:t> </w:t>
      </w:r>
      <w:r w:rsidRPr="00925E64">
        <w:rPr>
          <w:rFonts w:ascii="Arial" w:eastAsia="Times New Roman" w:hAnsi="Arial" w:cs="Arial"/>
          <w:i/>
          <w:iCs/>
          <w:color w:val="000000"/>
          <w:sz w:val="27"/>
          <w:lang w:eastAsia="en-CA"/>
        </w:rPr>
        <w:t>policy change guide</w:t>
      </w:r>
      <w:r w:rsidRPr="00925E64">
        <w:rPr>
          <w:rFonts w:ascii="Arial" w:eastAsia="Times New Roman" w:hAnsi="Arial" w:cs="Arial"/>
          <w:color w:val="000000"/>
          <w:sz w:val="27"/>
          <w:lang w:eastAsia="en-CA"/>
        </w:rPr>
        <w:t> </w:t>
      </w:r>
      <w:r w:rsidRPr="00925E64">
        <w:rPr>
          <w:rFonts w:ascii="Arial" w:eastAsia="Times New Roman" w:hAnsi="Arial" w:cs="Arial"/>
          <w:color w:val="000000"/>
          <w:sz w:val="27"/>
          <w:szCs w:val="27"/>
          <w:lang w:eastAsia="en-CA"/>
        </w:rPr>
        <w:t>delves deeply into each policy change for 2016 and 2017, including transition rules.</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b/>
          <w:bCs/>
          <w:color w:val="000000"/>
          <w:sz w:val="27"/>
          <w:lang w:eastAsia="en-CA"/>
        </w:rPr>
        <w:t>For a policy change with underwriting: latest date for head office to receive a quote request is August 1, 2016</w:t>
      </w:r>
    </w:p>
    <w:p w:rsidR="00925E64" w:rsidRPr="00925E64" w:rsidRDefault="00925E64" w:rsidP="00925E64">
      <w:pPr>
        <w:spacing w:before="100" w:beforeAutospacing="1" w:after="100" w:afterAutospacing="1" w:line="250" w:lineRule="atLeast"/>
        <w:rPr>
          <w:rFonts w:ascii="Arial" w:eastAsia="Times New Roman" w:hAnsi="Arial" w:cs="Arial"/>
          <w:color w:val="000000"/>
          <w:sz w:val="27"/>
          <w:szCs w:val="27"/>
          <w:lang w:eastAsia="en-CA"/>
        </w:rPr>
      </w:pPr>
      <w:r w:rsidRPr="00925E64">
        <w:rPr>
          <w:rFonts w:ascii="Arial" w:eastAsia="Times New Roman" w:hAnsi="Arial" w:cs="Arial"/>
          <w:color w:val="000000"/>
          <w:sz w:val="27"/>
          <w:szCs w:val="27"/>
          <w:lang w:eastAsia="en-CA"/>
        </w:rPr>
        <w:t xml:space="preserve">Life17 will give you the information and support you need to maximize opportunities in 2016 and hit the ground running in 2017. Look for updates on </w:t>
      </w:r>
      <w:proofErr w:type="spellStart"/>
      <w:r w:rsidRPr="00925E64">
        <w:rPr>
          <w:rFonts w:ascii="Arial" w:eastAsia="Times New Roman" w:hAnsi="Arial" w:cs="Arial"/>
          <w:color w:val="000000"/>
          <w:sz w:val="27"/>
          <w:szCs w:val="27"/>
          <w:lang w:eastAsia="en-CA"/>
        </w:rPr>
        <w:t>RepNet</w:t>
      </w:r>
      <w:proofErr w:type="spellEnd"/>
      <w:r w:rsidRPr="00925E64">
        <w:rPr>
          <w:rFonts w:ascii="Arial" w:eastAsia="Times New Roman" w:hAnsi="Arial" w:cs="Arial"/>
          <w:color w:val="000000"/>
          <w:sz w:val="27"/>
          <w:szCs w:val="27"/>
          <w:lang w:eastAsia="en-CA"/>
        </w:rPr>
        <w:t>, as well as through future emails and presentations. For more information, contact your MGA, branch office or Canada Life regional marketing centre nearest you.</w:t>
      </w:r>
    </w:p>
    <w:p w:rsidR="00561E96" w:rsidRDefault="00561E96"/>
    <w:sectPr w:rsidR="00561E96" w:rsidSect="00561E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F0271"/>
    <w:multiLevelType w:val="multilevel"/>
    <w:tmpl w:val="A4D8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07671"/>
    <w:multiLevelType w:val="multilevel"/>
    <w:tmpl w:val="522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5E64"/>
    <w:rsid w:val="00561E96"/>
    <w:rsid w:val="00925E6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96"/>
  </w:style>
  <w:style w:type="paragraph" w:styleId="Heading1">
    <w:name w:val="heading 1"/>
    <w:basedOn w:val="Normal"/>
    <w:link w:val="Heading1Char"/>
    <w:uiPriority w:val="9"/>
    <w:qFormat/>
    <w:rsid w:val="00925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925E6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925E64"/>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925E64"/>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64"/>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925E64"/>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925E64"/>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925E64"/>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925E6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25E64"/>
    <w:rPr>
      <w:color w:val="0000FF"/>
      <w:u w:val="single"/>
    </w:rPr>
  </w:style>
  <w:style w:type="character" w:customStyle="1" w:styleId="apple-converted-space">
    <w:name w:val="apple-converted-space"/>
    <w:basedOn w:val="DefaultParagraphFont"/>
    <w:rsid w:val="00925E64"/>
  </w:style>
  <w:style w:type="character" w:styleId="Strong">
    <w:name w:val="Strong"/>
    <w:basedOn w:val="DefaultParagraphFont"/>
    <w:uiPriority w:val="22"/>
    <w:qFormat/>
    <w:rsid w:val="00925E64"/>
    <w:rPr>
      <w:b/>
      <w:bCs/>
    </w:rPr>
  </w:style>
  <w:style w:type="character" w:styleId="Emphasis">
    <w:name w:val="Emphasis"/>
    <w:basedOn w:val="DefaultParagraphFont"/>
    <w:uiPriority w:val="20"/>
    <w:qFormat/>
    <w:rsid w:val="00925E64"/>
    <w:rPr>
      <w:i/>
      <w:iCs/>
    </w:rPr>
  </w:style>
</w:styles>
</file>

<file path=word/webSettings.xml><?xml version="1.0" encoding="utf-8"?>
<w:webSettings xmlns:r="http://schemas.openxmlformats.org/officeDocument/2006/relationships" xmlns:w="http://schemas.openxmlformats.org/wordprocessingml/2006/main">
  <w:divs>
    <w:div w:id="1076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pnet2.canadalife.com/public/stellent/groups/public/documents/S1_28823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2016-05-27T16:14:00Z</dcterms:created>
  <dcterms:modified xsi:type="dcterms:W3CDTF">2016-05-27T16:17:00Z</dcterms:modified>
</cp:coreProperties>
</file>